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CE98" w14:textId="6E06FC2C" w:rsidR="00071178" w:rsidRPr="00165D1C" w:rsidRDefault="00165D1C" w:rsidP="00B526B9">
      <w:pPr>
        <w:rPr>
          <w:rFonts w:asciiTheme="majorHAnsi" w:hAnsiTheme="majorHAnsi" w:cstheme="majorHAnsi"/>
          <w:sz w:val="32"/>
          <w:szCs w:val="32"/>
        </w:rPr>
      </w:pPr>
      <w:r w:rsidRPr="00165D1C">
        <w:rPr>
          <w:rFonts w:asciiTheme="majorHAnsi" w:hAnsiTheme="majorHAnsi" w:cstheme="majorHAnsi"/>
          <w:b/>
          <w:sz w:val="32"/>
          <w:szCs w:val="32"/>
        </w:rPr>
        <w:t xml:space="preserve">PLANNING FOR ASSESSMENT IN ONLINE OR </w:t>
      </w:r>
      <w:hyperlink r:id="rId7">
        <w:r w:rsidRPr="00165D1C">
          <w:rPr>
            <w:rFonts w:asciiTheme="majorHAnsi" w:hAnsiTheme="majorHAnsi" w:cstheme="majorHAnsi"/>
            <w:b/>
            <w:color w:val="1155CC"/>
            <w:sz w:val="32"/>
            <w:szCs w:val="32"/>
            <w:u w:val="single"/>
          </w:rPr>
          <w:t>BLENDED</w:t>
        </w:r>
      </w:hyperlink>
      <w:r w:rsidRPr="00165D1C">
        <w:rPr>
          <w:rFonts w:asciiTheme="majorHAnsi" w:hAnsiTheme="majorHAnsi" w:cstheme="majorHAnsi"/>
          <w:b/>
          <w:sz w:val="32"/>
          <w:szCs w:val="32"/>
        </w:rPr>
        <w:t xml:space="preserve"> COURSES </w:t>
      </w:r>
    </w:p>
    <w:p w14:paraId="7772CE99" w14:textId="77777777" w:rsidR="00071178" w:rsidRPr="006E612A" w:rsidRDefault="00165D1C">
      <w:p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The strategies listed here are for </w:t>
      </w:r>
      <w:hyperlink r:id="rId8">
        <w:r w:rsidRPr="006E612A">
          <w:rPr>
            <w:rFonts w:asciiTheme="majorHAnsi" w:hAnsiTheme="majorHAnsi" w:cstheme="majorHAnsi"/>
            <w:color w:val="1155CC"/>
            <w:sz w:val="24"/>
            <w:szCs w:val="24"/>
            <w:u w:val="single"/>
          </w:rPr>
          <w:t>online assessments</w:t>
        </w:r>
      </w:hyperlink>
      <w:r w:rsidRPr="006E612A">
        <w:rPr>
          <w:rFonts w:asciiTheme="majorHAnsi" w:hAnsiTheme="majorHAnsi" w:cstheme="majorHAnsi"/>
          <w:sz w:val="24"/>
          <w:szCs w:val="24"/>
        </w:rPr>
        <w:t>. If you are interested in student assessment in general, you might want to refer to</w:t>
      </w:r>
      <w:hyperlink r:id="rId9">
        <w:r w:rsidRPr="006E612A">
          <w:rPr>
            <w:rFonts w:asciiTheme="majorHAnsi" w:hAnsiTheme="majorHAnsi" w:cstheme="majorHAnsi"/>
            <w:color w:val="1155CC"/>
            <w:sz w:val="24"/>
            <w:szCs w:val="24"/>
            <w:u w:val="single"/>
          </w:rPr>
          <w:t xml:space="preserve"> this guide</w:t>
        </w:r>
      </w:hyperlink>
      <w:r w:rsidRPr="006E612A">
        <w:rPr>
          <w:rFonts w:asciiTheme="majorHAnsi" w:hAnsiTheme="majorHAnsi" w:cstheme="majorHAnsi"/>
          <w:sz w:val="24"/>
          <w:szCs w:val="24"/>
        </w:rPr>
        <w:t xml:space="preserve">. </w:t>
      </w:r>
    </w:p>
    <w:p w14:paraId="7772CE9A" w14:textId="77777777" w:rsidR="00071178" w:rsidRPr="006E612A" w:rsidRDefault="00165D1C">
      <w:pPr>
        <w:spacing w:after="240"/>
        <w:rPr>
          <w:rFonts w:asciiTheme="majorHAnsi" w:hAnsiTheme="majorHAnsi" w:cstheme="majorHAnsi"/>
          <w:b/>
          <w:sz w:val="24"/>
          <w:szCs w:val="24"/>
        </w:rPr>
      </w:pPr>
      <w:r w:rsidRPr="006E612A">
        <w:rPr>
          <w:rFonts w:asciiTheme="majorHAnsi" w:hAnsiTheme="majorHAnsi" w:cstheme="majorHAnsi"/>
          <w:b/>
          <w:sz w:val="24"/>
          <w:szCs w:val="24"/>
        </w:rPr>
        <w:t>Prepare:</w:t>
      </w:r>
    </w:p>
    <w:p w14:paraId="7772CE9B" w14:textId="77777777" w:rsidR="00071178" w:rsidRPr="006E612A" w:rsidRDefault="00165D1C">
      <w:pPr>
        <w:numPr>
          <w:ilvl w:val="0"/>
          <w:numId w:val="6"/>
        </w:num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Revisit best practices: </w:t>
      </w:r>
    </w:p>
    <w:p w14:paraId="7772CE9C" w14:textId="77777777" w:rsidR="00071178" w:rsidRPr="006E612A" w:rsidRDefault="00165D1C">
      <w:pPr>
        <w:spacing w:before="240" w:after="240"/>
        <w:ind w:left="720"/>
        <w:rPr>
          <w:rFonts w:asciiTheme="majorHAnsi" w:hAnsiTheme="majorHAnsi" w:cstheme="majorHAnsi"/>
          <w:sz w:val="24"/>
          <w:szCs w:val="24"/>
        </w:rPr>
      </w:pPr>
      <w:r w:rsidRPr="006E612A">
        <w:rPr>
          <w:rFonts w:asciiTheme="majorHAnsi" w:hAnsiTheme="majorHAnsi" w:cstheme="majorHAnsi"/>
          <w:sz w:val="24"/>
          <w:szCs w:val="24"/>
        </w:rPr>
        <w:t xml:space="preserve">When </w:t>
      </w:r>
      <w:hyperlink r:id="rId10">
        <w:r w:rsidRPr="006E612A">
          <w:rPr>
            <w:rFonts w:asciiTheme="majorHAnsi" w:hAnsiTheme="majorHAnsi" w:cstheme="majorHAnsi"/>
            <w:color w:val="1155CC"/>
            <w:sz w:val="24"/>
            <w:szCs w:val="24"/>
            <w:u w:val="single"/>
          </w:rPr>
          <w:t>designing assessments</w:t>
        </w:r>
      </w:hyperlink>
      <w:r w:rsidRPr="006E612A">
        <w:rPr>
          <w:rFonts w:asciiTheme="majorHAnsi" w:hAnsiTheme="majorHAnsi" w:cstheme="majorHAnsi"/>
          <w:sz w:val="24"/>
          <w:szCs w:val="24"/>
        </w:rPr>
        <w:t xml:space="preserve"> in an </w:t>
      </w:r>
      <w:hyperlink r:id="rId11">
        <w:r w:rsidRPr="006E612A">
          <w:rPr>
            <w:rFonts w:asciiTheme="majorHAnsi" w:hAnsiTheme="majorHAnsi" w:cstheme="majorHAnsi"/>
            <w:color w:val="1155CC"/>
            <w:sz w:val="24"/>
            <w:szCs w:val="24"/>
            <w:u w:val="single"/>
          </w:rPr>
          <w:t>online course</w:t>
        </w:r>
      </w:hyperlink>
      <w:r w:rsidRPr="006E612A">
        <w:rPr>
          <w:rFonts w:asciiTheme="majorHAnsi" w:hAnsiTheme="majorHAnsi" w:cstheme="majorHAnsi"/>
          <w:sz w:val="24"/>
          <w:szCs w:val="24"/>
        </w:rPr>
        <w:t>, think about focusing on the learning, balancing structure with flexibility, providing clear instructions and quality feedback.</w:t>
      </w:r>
    </w:p>
    <w:p w14:paraId="7772CE9D" w14:textId="77777777" w:rsidR="00071178" w:rsidRPr="006E612A" w:rsidRDefault="00165D1C">
      <w:pPr>
        <w:numPr>
          <w:ilvl w:val="0"/>
          <w:numId w:val="6"/>
        </w:numPr>
        <w:spacing w:before="240" w:after="240"/>
        <w:rPr>
          <w:rFonts w:asciiTheme="majorHAnsi" w:hAnsiTheme="majorHAnsi" w:cstheme="majorHAnsi"/>
          <w:sz w:val="24"/>
          <w:szCs w:val="24"/>
        </w:rPr>
      </w:pPr>
      <w:r w:rsidRPr="006E612A">
        <w:rPr>
          <w:rFonts w:asciiTheme="majorHAnsi" w:hAnsiTheme="majorHAnsi" w:cstheme="majorHAnsi"/>
          <w:sz w:val="24"/>
          <w:szCs w:val="24"/>
        </w:rPr>
        <w:t>Have a backup plan:</w:t>
      </w:r>
    </w:p>
    <w:p w14:paraId="7772CE9E" w14:textId="77777777" w:rsidR="00071178" w:rsidRPr="006E612A" w:rsidRDefault="00165D1C">
      <w:pPr>
        <w:spacing w:before="240" w:after="240"/>
        <w:ind w:left="720"/>
        <w:rPr>
          <w:rFonts w:asciiTheme="majorHAnsi" w:hAnsiTheme="majorHAnsi" w:cstheme="majorHAnsi"/>
          <w:sz w:val="24"/>
          <w:szCs w:val="24"/>
        </w:rPr>
      </w:pPr>
      <w:r w:rsidRPr="006E612A">
        <w:rPr>
          <w:rFonts w:asciiTheme="majorHAnsi" w:hAnsiTheme="majorHAnsi" w:cstheme="majorHAnsi"/>
          <w:sz w:val="24"/>
          <w:szCs w:val="24"/>
        </w:rPr>
        <w:t>Have a plan in mind in case the technology is not working. If the learning management system is down when quizzes or assignments are due, you might extend the deadline or have students email assignments to you. Plan for unexpected interruptions.</w:t>
      </w:r>
    </w:p>
    <w:p w14:paraId="7772CE9F" w14:textId="77777777" w:rsidR="00071178" w:rsidRPr="006E612A" w:rsidRDefault="00165D1C">
      <w:pPr>
        <w:spacing w:before="240" w:after="240"/>
        <w:rPr>
          <w:rFonts w:asciiTheme="majorHAnsi" w:hAnsiTheme="majorHAnsi" w:cstheme="majorHAnsi"/>
          <w:b/>
          <w:sz w:val="24"/>
          <w:szCs w:val="24"/>
        </w:rPr>
      </w:pPr>
      <w:r w:rsidRPr="006E612A">
        <w:rPr>
          <w:rFonts w:asciiTheme="majorHAnsi" w:hAnsiTheme="majorHAnsi" w:cstheme="majorHAnsi"/>
          <w:b/>
          <w:sz w:val="24"/>
          <w:szCs w:val="24"/>
        </w:rPr>
        <w:t>Communicate:</w:t>
      </w:r>
    </w:p>
    <w:p w14:paraId="7772CEA0" w14:textId="77777777" w:rsidR="00071178" w:rsidRPr="006E612A" w:rsidRDefault="00165D1C">
      <w:p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Communication is key in student assessment. These strategies will help you to keep the lines of communication open and clear. </w:t>
      </w:r>
    </w:p>
    <w:p w14:paraId="7772CEA1" w14:textId="77777777" w:rsidR="00071178" w:rsidRPr="006E612A" w:rsidRDefault="00165D1C" w:rsidP="00FC7A66">
      <w:pPr>
        <w:numPr>
          <w:ilvl w:val="0"/>
          <w:numId w:val="9"/>
        </w:numPr>
        <w:spacing w:before="240" w:after="240"/>
        <w:rPr>
          <w:rFonts w:asciiTheme="majorHAnsi" w:hAnsiTheme="majorHAnsi" w:cstheme="majorHAnsi"/>
          <w:sz w:val="24"/>
          <w:szCs w:val="24"/>
        </w:rPr>
      </w:pPr>
      <w:r w:rsidRPr="006E612A">
        <w:rPr>
          <w:rFonts w:asciiTheme="majorHAnsi" w:hAnsiTheme="majorHAnsi" w:cstheme="majorHAnsi"/>
          <w:sz w:val="24"/>
          <w:szCs w:val="24"/>
        </w:rPr>
        <w:t>Be transparent:</w:t>
      </w:r>
    </w:p>
    <w:p w14:paraId="7772CEA2" w14:textId="77777777" w:rsidR="00071178" w:rsidRPr="00FC7A66" w:rsidRDefault="00165D1C" w:rsidP="00FC7A66">
      <w:pPr>
        <w:pStyle w:val="ListParagraph"/>
        <w:spacing w:before="240" w:after="240"/>
        <w:ind w:left="1440"/>
        <w:rPr>
          <w:rFonts w:asciiTheme="majorHAnsi" w:hAnsiTheme="majorHAnsi" w:cstheme="majorHAnsi"/>
          <w:sz w:val="24"/>
          <w:szCs w:val="24"/>
        </w:rPr>
      </w:pPr>
      <w:r w:rsidRPr="00FC7A66">
        <w:rPr>
          <w:rFonts w:asciiTheme="majorHAnsi" w:hAnsiTheme="majorHAnsi" w:cstheme="majorHAnsi"/>
          <w:sz w:val="24"/>
          <w:szCs w:val="24"/>
        </w:rPr>
        <w:t xml:space="preserve">For blended and online courses, it is critical that you let students know assignment parameters, expectations, and how you will grade assignments well in advance. </w:t>
      </w:r>
      <w:hyperlink r:id="rId12">
        <w:r w:rsidRPr="00FC7A66">
          <w:rPr>
            <w:rFonts w:asciiTheme="majorHAnsi" w:hAnsiTheme="majorHAnsi" w:cstheme="majorHAnsi"/>
            <w:color w:val="1155CC"/>
            <w:sz w:val="24"/>
            <w:szCs w:val="24"/>
            <w:u w:val="single"/>
          </w:rPr>
          <w:t>This template</w:t>
        </w:r>
      </w:hyperlink>
      <w:r w:rsidRPr="00FC7A66">
        <w:rPr>
          <w:rFonts w:asciiTheme="majorHAnsi" w:hAnsiTheme="majorHAnsi" w:cstheme="majorHAnsi"/>
          <w:sz w:val="24"/>
          <w:szCs w:val="24"/>
        </w:rPr>
        <w:t xml:space="preserve"> can get you started. </w:t>
      </w:r>
    </w:p>
    <w:p w14:paraId="7772CEA3" w14:textId="77777777" w:rsidR="00071178" w:rsidRPr="006E612A" w:rsidRDefault="00165D1C" w:rsidP="00FC7A66">
      <w:pPr>
        <w:numPr>
          <w:ilvl w:val="0"/>
          <w:numId w:val="9"/>
        </w:num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Submit assignments: </w:t>
      </w:r>
    </w:p>
    <w:p w14:paraId="7772CEA4" w14:textId="77777777" w:rsidR="00071178" w:rsidRPr="00FC7A66" w:rsidRDefault="00165D1C" w:rsidP="00FC7A66">
      <w:pPr>
        <w:pStyle w:val="ListParagraph"/>
        <w:spacing w:before="240" w:after="240"/>
        <w:ind w:left="1440"/>
        <w:rPr>
          <w:rFonts w:asciiTheme="majorHAnsi" w:hAnsiTheme="majorHAnsi" w:cstheme="majorHAnsi"/>
          <w:sz w:val="24"/>
          <w:szCs w:val="24"/>
        </w:rPr>
      </w:pPr>
      <w:r w:rsidRPr="00FC7A66">
        <w:rPr>
          <w:rFonts w:asciiTheme="majorHAnsi" w:hAnsiTheme="majorHAnsi" w:cstheme="majorHAnsi"/>
          <w:sz w:val="24"/>
          <w:szCs w:val="24"/>
        </w:rPr>
        <w:t>Let students know to submit their assignments through the learning management system rather than emailing them to you. The LMS will keep the assignments organized.</w:t>
      </w:r>
    </w:p>
    <w:p w14:paraId="7772CEA7" w14:textId="77777777" w:rsidR="00071178" w:rsidRPr="006E612A" w:rsidRDefault="00165D1C" w:rsidP="00FC7A66">
      <w:pPr>
        <w:numPr>
          <w:ilvl w:val="0"/>
          <w:numId w:val="9"/>
        </w:num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Provide feedback: </w:t>
      </w:r>
    </w:p>
    <w:p w14:paraId="7772CEA8" w14:textId="77777777" w:rsidR="00071178" w:rsidRPr="00FC7A66" w:rsidRDefault="00165D1C" w:rsidP="00FC7A66">
      <w:pPr>
        <w:pStyle w:val="ListParagraph"/>
        <w:spacing w:before="240" w:after="240"/>
        <w:ind w:left="1440"/>
        <w:rPr>
          <w:rFonts w:asciiTheme="majorHAnsi" w:hAnsiTheme="majorHAnsi" w:cstheme="majorHAnsi"/>
          <w:sz w:val="24"/>
          <w:szCs w:val="24"/>
        </w:rPr>
      </w:pPr>
      <w:r w:rsidRPr="00FC7A66">
        <w:rPr>
          <w:rFonts w:asciiTheme="majorHAnsi" w:hAnsiTheme="majorHAnsi" w:cstheme="majorHAnsi"/>
          <w:sz w:val="24"/>
          <w:szCs w:val="24"/>
        </w:rPr>
        <w:lastRenderedPageBreak/>
        <w:t xml:space="preserve">It is critical to provide students with </w:t>
      </w:r>
      <w:hyperlink r:id="rId13">
        <w:r w:rsidRPr="00FC7A66">
          <w:rPr>
            <w:rFonts w:asciiTheme="majorHAnsi" w:hAnsiTheme="majorHAnsi" w:cstheme="majorHAnsi"/>
            <w:color w:val="1155CC"/>
            <w:sz w:val="24"/>
            <w:szCs w:val="24"/>
            <w:u w:val="single"/>
          </w:rPr>
          <w:t xml:space="preserve">feedback </w:t>
        </w:r>
      </w:hyperlink>
      <w:r w:rsidRPr="00FC7A66">
        <w:rPr>
          <w:rFonts w:asciiTheme="majorHAnsi" w:hAnsiTheme="majorHAnsi" w:cstheme="majorHAnsi"/>
          <w:sz w:val="24"/>
          <w:szCs w:val="24"/>
        </w:rPr>
        <w:t xml:space="preserve">on their learning in online courses. </w:t>
      </w:r>
      <w:hyperlink r:id="rId14">
        <w:r w:rsidRPr="00FC7A66">
          <w:rPr>
            <w:rFonts w:asciiTheme="majorHAnsi" w:hAnsiTheme="majorHAnsi" w:cstheme="majorHAnsi"/>
            <w:color w:val="1155CC"/>
            <w:sz w:val="24"/>
            <w:szCs w:val="24"/>
            <w:u w:val="single"/>
          </w:rPr>
          <w:t>Video feedback (</w:t>
        </w:r>
        <w:proofErr w:type="spellStart"/>
        <w:r w:rsidRPr="00FC7A66">
          <w:rPr>
            <w:rFonts w:asciiTheme="majorHAnsi" w:hAnsiTheme="majorHAnsi" w:cstheme="majorHAnsi"/>
            <w:color w:val="1155CC"/>
            <w:sz w:val="24"/>
            <w:szCs w:val="24"/>
            <w:u w:val="single"/>
          </w:rPr>
          <w:t>veedback</w:t>
        </w:r>
        <w:proofErr w:type="spellEnd"/>
        <w:r w:rsidRPr="00FC7A66">
          <w:rPr>
            <w:rFonts w:asciiTheme="majorHAnsi" w:hAnsiTheme="majorHAnsi" w:cstheme="majorHAnsi"/>
            <w:color w:val="1155CC"/>
            <w:sz w:val="24"/>
            <w:szCs w:val="24"/>
            <w:u w:val="single"/>
          </w:rPr>
          <w:t>)</w:t>
        </w:r>
      </w:hyperlink>
      <w:r w:rsidRPr="00FC7A66">
        <w:rPr>
          <w:rFonts w:asciiTheme="majorHAnsi" w:hAnsiTheme="majorHAnsi" w:cstheme="majorHAnsi"/>
          <w:sz w:val="24"/>
          <w:szCs w:val="24"/>
        </w:rPr>
        <w:t xml:space="preserve"> can be highly effective. </w:t>
      </w:r>
    </w:p>
    <w:p w14:paraId="7772CEA9" w14:textId="77777777" w:rsidR="00071178" w:rsidRPr="006E612A" w:rsidRDefault="00165D1C" w:rsidP="00FC7A66">
      <w:pPr>
        <w:numPr>
          <w:ilvl w:val="0"/>
          <w:numId w:val="9"/>
        </w:numPr>
        <w:spacing w:before="240" w:after="240"/>
        <w:rPr>
          <w:rFonts w:asciiTheme="majorHAnsi" w:hAnsiTheme="majorHAnsi" w:cstheme="majorHAnsi"/>
          <w:sz w:val="24"/>
          <w:szCs w:val="24"/>
        </w:rPr>
      </w:pPr>
      <w:r w:rsidRPr="006E612A">
        <w:rPr>
          <w:rFonts w:asciiTheme="majorHAnsi" w:hAnsiTheme="majorHAnsi" w:cstheme="majorHAnsi"/>
          <w:sz w:val="24"/>
          <w:szCs w:val="24"/>
        </w:rPr>
        <w:t>Convey a late assignment policy:</w:t>
      </w:r>
    </w:p>
    <w:p w14:paraId="7772CEAA" w14:textId="77777777" w:rsidR="00071178" w:rsidRPr="00FC7A66" w:rsidRDefault="00165D1C" w:rsidP="00FC7A66">
      <w:pPr>
        <w:pStyle w:val="ListParagraph"/>
        <w:spacing w:before="240" w:after="240"/>
        <w:ind w:left="1440"/>
        <w:rPr>
          <w:rFonts w:asciiTheme="majorHAnsi" w:hAnsiTheme="majorHAnsi" w:cstheme="majorHAnsi"/>
          <w:sz w:val="24"/>
          <w:szCs w:val="24"/>
        </w:rPr>
      </w:pPr>
      <w:r w:rsidRPr="00FC7A66">
        <w:rPr>
          <w:rFonts w:asciiTheme="majorHAnsi" w:hAnsiTheme="majorHAnsi" w:cstheme="majorHAnsi"/>
          <w:sz w:val="24"/>
          <w:szCs w:val="24"/>
        </w:rPr>
        <w:t xml:space="preserve">Let students know what the policy is regarding late assignments. Please note that your faculty or department may have policies that you are obligated to follow. </w:t>
      </w:r>
    </w:p>
    <w:p w14:paraId="7772CEAB" w14:textId="77777777" w:rsidR="00071178" w:rsidRPr="006E612A" w:rsidRDefault="00165D1C" w:rsidP="00FC7A66">
      <w:pPr>
        <w:numPr>
          <w:ilvl w:val="0"/>
          <w:numId w:val="9"/>
        </w:numPr>
        <w:spacing w:before="240" w:after="240"/>
        <w:rPr>
          <w:rFonts w:asciiTheme="majorHAnsi" w:hAnsiTheme="majorHAnsi" w:cstheme="majorHAnsi"/>
          <w:sz w:val="24"/>
          <w:szCs w:val="24"/>
        </w:rPr>
      </w:pPr>
      <w:r w:rsidRPr="006E612A">
        <w:rPr>
          <w:rFonts w:asciiTheme="majorHAnsi" w:hAnsiTheme="majorHAnsi" w:cstheme="majorHAnsi"/>
          <w:sz w:val="24"/>
          <w:szCs w:val="24"/>
        </w:rPr>
        <w:t>Discuss academic integrity:</w:t>
      </w:r>
    </w:p>
    <w:p w14:paraId="7772CEAC" w14:textId="77777777" w:rsidR="00071178" w:rsidRPr="00FC7A66" w:rsidRDefault="00FC7A66" w:rsidP="00FC7A66">
      <w:pPr>
        <w:pStyle w:val="ListParagraph"/>
        <w:spacing w:before="240" w:after="240"/>
        <w:ind w:left="1440"/>
        <w:rPr>
          <w:rFonts w:asciiTheme="majorHAnsi" w:hAnsiTheme="majorHAnsi" w:cstheme="majorHAnsi"/>
          <w:sz w:val="24"/>
          <w:szCs w:val="24"/>
        </w:rPr>
      </w:pPr>
      <w:hyperlink r:id="rId15">
        <w:r w:rsidR="00165D1C" w:rsidRPr="00FC7A66">
          <w:rPr>
            <w:rFonts w:asciiTheme="majorHAnsi" w:hAnsiTheme="majorHAnsi" w:cstheme="majorHAnsi"/>
            <w:color w:val="1155CC"/>
            <w:sz w:val="24"/>
            <w:szCs w:val="24"/>
            <w:u w:val="single"/>
          </w:rPr>
          <w:t>This resource</w:t>
        </w:r>
      </w:hyperlink>
      <w:r w:rsidR="00165D1C" w:rsidRPr="00FC7A66">
        <w:rPr>
          <w:rFonts w:asciiTheme="majorHAnsi" w:hAnsiTheme="majorHAnsi" w:cstheme="majorHAnsi"/>
          <w:sz w:val="24"/>
          <w:szCs w:val="24"/>
        </w:rPr>
        <w:t xml:space="preserve"> includes comprehensive information about academic integrity in online environments. Read about </w:t>
      </w:r>
      <w:hyperlink r:id="rId16">
        <w:r w:rsidR="00165D1C" w:rsidRPr="00FC7A66">
          <w:rPr>
            <w:rFonts w:asciiTheme="majorHAnsi" w:hAnsiTheme="majorHAnsi" w:cstheme="majorHAnsi"/>
            <w:color w:val="1155CC"/>
            <w:sz w:val="24"/>
            <w:szCs w:val="24"/>
            <w:u w:val="single"/>
          </w:rPr>
          <w:t>foundational principles for academic integrity</w:t>
        </w:r>
      </w:hyperlink>
      <w:r w:rsidR="00165D1C" w:rsidRPr="00FC7A66">
        <w:rPr>
          <w:rFonts w:asciiTheme="majorHAnsi" w:hAnsiTheme="majorHAnsi" w:cstheme="majorHAnsi"/>
          <w:sz w:val="24"/>
          <w:szCs w:val="24"/>
        </w:rPr>
        <w:t xml:space="preserve"> here. Specific strategies for academic integrity and D2L can be found </w:t>
      </w:r>
      <w:hyperlink r:id="rId17">
        <w:r w:rsidR="00165D1C" w:rsidRPr="00FC7A66">
          <w:rPr>
            <w:rFonts w:asciiTheme="majorHAnsi" w:hAnsiTheme="majorHAnsi" w:cstheme="majorHAnsi"/>
            <w:color w:val="1155CC"/>
            <w:sz w:val="24"/>
            <w:szCs w:val="24"/>
            <w:u w:val="single"/>
          </w:rPr>
          <w:t>here</w:t>
        </w:r>
      </w:hyperlink>
      <w:r w:rsidR="00165D1C" w:rsidRPr="00FC7A66">
        <w:rPr>
          <w:rFonts w:asciiTheme="majorHAnsi" w:hAnsiTheme="majorHAnsi" w:cstheme="majorHAnsi"/>
          <w:sz w:val="24"/>
          <w:szCs w:val="24"/>
        </w:rPr>
        <w:t xml:space="preserve">. </w:t>
      </w:r>
    </w:p>
    <w:p w14:paraId="7772CEAD" w14:textId="77777777" w:rsidR="00071178" w:rsidRPr="006E612A" w:rsidRDefault="00165D1C">
      <w:pPr>
        <w:spacing w:after="240"/>
        <w:rPr>
          <w:rFonts w:asciiTheme="majorHAnsi" w:hAnsiTheme="majorHAnsi" w:cstheme="majorHAnsi"/>
          <w:b/>
          <w:sz w:val="24"/>
          <w:szCs w:val="24"/>
        </w:rPr>
      </w:pPr>
      <w:r w:rsidRPr="006E612A">
        <w:rPr>
          <w:rFonts w:asciiTheme="majorHAnsi" w:hAnsiTheme="majorHAnsi" w:cstheme="majorHAnsi"/>
          <w:b/>
          <w:sz w:val="24"/>
          <w:szCs w:val="24"/>
        </w:rPr>
        <w:t>Practice:</w:t>
      </w:r>
    </w:p>
    <w:p w14:paraId="7772CEAE" w14:textId="77777777" w:rsidR="00071178" w:rsidRPr="006E612A" w:rsidRDefault="00165D1C" w:rsidP="00FC7A66">
      <w:pPr>
        <w:numPr>
          <w:ilvl w:val="0"/>
          <w:numId w:val="10"/>
        </w:numPr>
        <w:spacing w:before="240"/>
        <w:rPr>
          <w:rFonts w:asciiTheme="majorHAnsi" w:hAnsiTheme="majorHAnsi" w:cstheme="majorHAnsi"/>
          <w:sz w:val="24"/>
          <w:szCs w:val="24"/>
        </w:rPr>
      </w:pPr>
      <w:r w:rsidRPr="006E612A">
        <w:rPr>
          <w:rFonts w:asciiTheme="majorHAnsi" w:hAnsiTheme="majorHAnsi" w:cstheme="majorHAnsi"/>
          <w:sz w:val="24"/>
          <w:szCs w:val="24"/>
        </w:rPr>
        <w:t xml:space="preserve">Time management: Have someone such as a teaching assistant pilot the quizzes ahead of time to reveal any issues with quiz settings and whether the quiz is the right </w:t>
      </w:r>
      <w:proofErr w:type="gramStart"/>
      <w:r w:rsidRPr="006E612A">
        <w:rPr>
          <w:rFonts w:asciiTheme="majorHAnsi" w:hAnsiTheme="majorHAnsi" w:cstheme="majorHAnsi"/>
          <w:sz w:val="24"/>
          <w:szCs w:val="24"/>
        </w:rPr>
        <w:t>length</w:t>
      </w:r>
      <w:proofErr w:type="gramEnd"/>
    </w:p>
    <w:p w14:paraId="7772CEAF" w14:textId="01672AB7" w:rsidR="00071178" w:rsidRPr="006E612A" w:rsidRDefault="00165D1C" w:rsidP="00FC7A66">
      <w:pPr>
        <w:numPr>
          <w:ilvl w:val="0"/>
          <w:numId w:val="10"/>
        </w:numPr>
        <w:rPr>
          <w:rFonts w:asciiTheme="majorHAnsi" w:hAnsiTheme="majorHAnsi" w:cstheme="majorHAnsi"/>
          <w:sz w:val="24"/>
          <w:szCs w:val="24"/>
        </w:rPr>
      </w:pPr>
      <w:r w:rsidRPr="006E612A">
        <w:rPr>
          <w:rFonts w:asciiTheme="majorHAnsi" w:hAnsiTheme="majorHAnsi" w:cstheme="majorHAnsi"/>
          <w:sz w:val="24"/>
          <w:szCs w:val="24"/>
        </w:rPr>
        <w:t xml:space="preserve">Quizzes: Create </w:t>
      </w:r>
      <w:hyperlink r:id="rId18">
        <w:r w:rsidRPr="006E612A">
          <w:rPr>
            <w:rFonts w:asciiTheme="majorHAnsi" w:hAnsiTheme="majorHAnsi" w:cstheme="majorHAnsi"/>
            <w:color w:val="1155CC"/>
            <w:sz w:val="24"/>
            <w:szCs w:val="24"/>
            <w:u w:val="single"/>
          </w:rPr>
          <w:t>practice quizzes</w:t>
        </w:r>
      </w:hyperlink>
      <w:r w:rsidRPr="006E612A">
        <w:rPr>
          <w:rFonts w:asciiTheme="majorHAnsi" w:hAnsiTheme="majorHAnsi" w:cstheme="majorHAnsi"/>
          <w:sz w:val="24"/>
          <w:szCs w:val="24"/>
        </w:rPr>
        <w:t xml:space="preserve"> in the learning management system so that students can do a trial run with the tool. </w:t>
      </w:r>
      <w:r w:rsidRPr="006E612A">
        <w:rPr>
          <w:rFonts w:asciiTheme="majorHAnsi" w:eastAsia="Times New Roman" w:hAnsiTheme="majorHAnsi" w:cstheme="majorHAnsi"/>
          <w:sz w:val="14"/>
          <w:szCs w:val="14"/>
        </w:rPr>
        <w:t xml:space="preserve"> </w:t>
      </w:r>
    </w:p>
    <w:p w14:paraId="7772CEB0" w14:textId="77777777" w:rsidR="00071178" w:rsidRPr="006E612A" w:rsidRDefault="00165D1C" w:rsidP="00FC7A66">
      <w:pPr>
        <w:numPr>
          <w:ilvl w:val="0"/>
          <w:numId w:val="10"/>
        </w:numPr>
        <w:spacing w:after="240"/>
        <w:rPr>
          <w:rFonts w:asciiTheme="majorHAnsi" w:hAnsiTheme="majorHAnsi" w:cstheme="majorHAnsi"/>
          <w:sz w:val="24"/>
          <w:szCs w:val="24"/>
        </w:rPr>
      </w:pPr>
      <w:r w:rsidRPr="006E612A">
        <w:rPr>
          <w:rFonts w:asciiTheme="majorHAnsi" w:hAnsiTheme="majorHAnsi" w:cstheme="majorHAnsi"/>
          <w:sz w:val="24"/>
          <w:szCs w:val="24"/>
        </w:rPr>
        <w:t xml:space="preserve">Technology: If students are doing synchronous presentations, allow them the opportunity to practice using the tool beforehand, such as sharing slides and creating surveys. The instructor does not have to be present at the practice sessions. Set up a </w:t>
      </w:r>
      <w:hyperlink r:id="rId19">
        <w:r w:rsidRPr="006E612A">
          <w:rPr>
            <w:rFonts w:asciiTheme="majorHAnsi" w:hAnsiTheme="majorHAnsi" w:cstheme="majorHAnsi"/>
            <w:color w:val="1155CC"/>
            <w:sz w:val="24"/>
            <w:szCs w:val="24"/>
            <w:u w:val="single"/>
          </w:rPr>
          <w:t>Zoom session</w:t>
        </w:r>
      </w:hyperlink>
      <w:r w:rsidRPr="006E612A">
        <w:rPr>
          <w:rFonts w:asciiTheme="majorHAnsi" w:hAnsiTheme="majorHAnsi" w:cstheme="majorHAnsi"/>
          <w:sz w:val="16"/>
          <w:szCs w:val="16"/>
        </w:rPr>
        <w:t xml:space="preserve"> </w:t>
      </w:r>
      <w:r w:rsidRPr="006E612A">
        <w:rPr>
          <w:rFonts w:asciiTheme="majorHAnsi" w:hAnsiTheme="majorHAnsi" w:cstheme="majorHAnsi"/>
          <w:sz w:val="24"/>
          <w:szCs w:val="24"/>
        </w:rPr>
        <w:t>for groups of students and allow them to manage their own sessions.</w:t>
      </w:r>
    </w:p>
    <w:p w14:paraId="7772CEB1" w14:textId="77777777" w:rsidR="00071178" w:rsidRPr="006E612A" w:rsidRDefault="00165D1C">
      <w:pPr>
        <w:spacing w:after="240"/>
        <w:rPr>
          <w:rFonts w:asciiTheme="majorHAnsi" w:hAnsiTheme="majorHAnsi" w:cstheme="majorHAnsi"/>
          <w:b/>
          <w:sz w:val="24"/>
          <w:szCs w:val="24"/>
        </w:rPr>
      </w:pPr>
      <w:r w:rsidRPr="006E612A">
        <w:rPr>
          <w:rFonts w:asciiTheme="majorHAnsi" w:hAnsiTheme="majorHAnsi" w:cstheme="majorHAnsi"/>
          <w:b/>
          <w:sz w:val="24"/>
          <w:szCs w:val="24"/>
        </w:rPr>
        <w:t>Alternative Assessments:</w:t>
      </w:r>
    </w:p>
    <w:p w14:paraId="7772CEB2" w14:textId="77777777" w:rsidR="00071178" w:rsidRPr="006E612A" w:rsidRDefault="00165D1C">
      <w:pPr>
        <w:spacing w:before="240" w:after="240"/>
        <w:ind w:left="360"/>
        <w:rPr>
          <w:rFonts w:asciiTheme="majorHAnsi" w:hAnsiTheme="majorHAnsi" w:cstheme="majorHAnsi"/>
          <w:sz w:val="24"/>
          <w:szCs w:val="24"/>
        </w:rPr>
      </w:pPr>
      <w:r w:rsidRPr="006E612A">
        <w:rPr>
          <w:rFonts w:asciiTheme="majorHAnsi" w:eastAsia="Times New Roman" w:hAnsiTheme="majorHAnsi" w:cstheme="majorHAnsi"/>
          <w:sz w:val="14"/>
          <w:szCs w:val="14"/>
        </w:rPr>
        <w:t xml:space="preserve"> </w:t>
      </w:r>
      <w:r w:rsidRPr="006E612A">
        <w:rPr>
          <w:rFonts w:asciiTheme="majorHAnsi" w:hAnsiTheme="majorHAnsi" w:cstheme="majorHAnsi"/>
          <w:sz w:val="24"/>
          <w:szCs w:val="24"/>
        </w:rPr>
        <w:t xml:space="preserve">Consider </w:t>
      </w:r>
      <w:hyperlink r:id="rId20">
        <w:r w:rsidRPr="006E612A">
          <w:rPr>
            <w:rFonts w:asciiTheme="majorHAnsi" w:hAnsiTheme="majorHAnsi" w:cstheme="majorHAnsi"/>
            <w:color w:val="1155CC"/>
            <w:sz w:val="24"/>
            <w:szCs w:val="24"/>
            <w:u w:val="single"/>
          </w:rPr>
          <w:t>alternative assessments</w:t>
        </w:r>
      </w:hyperlink>
      <w:r w:rsidRPr="006E612A">
        <w:rPr>
          <w:rFonts w:asciiTheme="majorHAnsi" w:hAnsiTheme="majorHAnsi" w:cstheme="majorHAnsi"/>
          <w:sz w:val="24"/>
          <w:szCs w:val="24"/>
        </w:rPr>
        <w:t xml:space="preserve"> such as online student presentations or open book exams.</w:t>
      </w:r>
    </w:p>
    <w:p w14:paraId="7772CEB3" w14:textId="77777777" w:rsidR="00071178" w:rsidRPr="006E612A" w:rsidRDefault="00165D1C">
      <w:pPr>
        <w:spacing w:before="240" w:after="240"/>
        <w:rPr>
          <w:rFonts w:asciiTheme="majorHAnsi" w:hAnsiTheme="majorHAnsi" w:cstheme="majorHAnsi"/>
          <w:sz w:val="24"/>
          <w:szCs w:val="24"/>
        </w:rPr>
      </w:pPr>
      <w:r w:rsidRPr="006E612A">
        <w:rPr>
          <w:rFonts w:asciiTheme="majorHAnsi" w:hAnsiTheme="majorHAnsi" w:cstheme="majorHAnsi"/>
          <w:sz w:val="24"/>
          <w:szCs w:val="24"/>
        </w:rPr>
        <w:t xml:space="preserve">Online </w:t>
      </w:r>
      <w:hyperlink r:id="rId21">
        <w:r w:rsidRPr="006E612A">
          <w:rPr>
            <w:rFonts w:asciiTheme="majorHAnsi" w:hAnsiTheme="majorHAnsi" w:cstheme="majorHAnsi"/>
            <w:color w:val="1155CC"/>
            <w:sz w:val="24"/>
            <w:szCs w:val="24"/>
            <w:u w:val="single"/>
          </w:rPr>
          <w:t>discussion boards</w:t>
        </w:r>
      </w:hyperlink>
      <w:r w:rsidRPr="006E612A">
        <w:rPr>
          <w:rFonts w:asciiTheme="majorHAnsi" w:hAnsiTheme="majorHAnsi" w:cstheme="majorHAnsi"/>
          <w:sz w:val="24"/>
          <w:szCs w:val="24"/>
        </w:rPr>
        <w:t>:</w:t>
      </w:r>
    </w:p>
    <w:p w14:paraId="7772CEB4" w14:textId="77777777" w:rsidR="00071178" w:rsidRPr="006E612A" w:rsidRDefault="00165D1C" w:rsidP="00FC7A66">
      <w:pPr>
        <w:numPr>
          <w:ilvl w:val="0"/>
          <w:numId w:val="11"/>
        </w:numPr>
        <w:spacing w:before="240"/>
        <w:rPr>
          <w:rFonts w:asciiTheme="majorHAnsi" w:hAnsiTheme="majorHAnsi" w:cstheme="majorHAnsi"/>
          <w:sz w:val="24"/>
          <w:szCs w:val="24"/>
        </w:rPr>
      </w:pPr>
      <w:r w:rsidRPr="006E612A">
        <w:rPr>
          <w:rFonts w:asciiTheme="majorHAnsi" w:hAnsiTheme="majorHAnsi" w:cstheme="majorHAnsi"/>
          <w:sz w:val="24"/>
          <w:szCs w:val="24"/>
        </w:rPr>
        <w:t xml:space="preserve">Communicate your </w:t>
      </w:r>
      <w:hyperlink r:id="rId22">
        <w:r w:rsidRPr="006E612A">
          <w:rPr>
            <w:rFonts w:asciiTheme="majorHAnsi" w:hAnsiTheme="majorHAnsi" w:cstheme="majorHAnsi"/>
            <w:color w:val="1155CC"/>
            <w:sz w:val="24"/>
            <w:szCs w:val="24"/>
            <w:u w:val="single"/>
          </w:rPr>
          <w:t>expectations</w:t>
        </w:r>
      </w:hyperlink>
      <w:r w:rsidRPr="006E612A">
        <w:rPr>
          <w:rFonts w:asciiTheme="majorHAnsi" w:hAnsiTheme="majorHAnsi" w:cstheme="majorHAnsi"/>
          <w:sz w:val="24"/>
          <w:szCs w:val="24"/>
        </w:rPr>
        <w:t xml:space="preserve"> around online discussion boards and how they will be graded.</w:t>
      </w:r>
    </w:p>
    <w:p w14:paraId="7772CEB5" w14:textId="77777777" w:rsidR="00071178" w:rsidRPr="006E612A" w:rsidRDefault="00165D1C" w:rsidP="00FC7A66">
      <w:pPr>
        <w:numPr>
          <w:ilvl w:val="0"/>
          <w:numId w:val="11"/>
        </w:numPr>
        <w:spacing w:after="240"/>
        <w:rPr>
          <w:rFonts w:asciiTheme="majorHAnsi" w:hAnsiTheme="majorHAnsi" w:cstheme="majorHAnsi"/>
          <w:sz w:val="24"/>
          <w:szCs w:val="24"/>
        </w:rPr>
      </w:pPr>
      <w:r w:rsidRPr="006E612A">
        <w:rPr>
          <w:rFonts w:asciiTheme="majorHAnsi" w:hAnsiTheme="majorHAnsi" w:cstheme="majorHAnsi"/>
          <w:sz w:val="24"/>
          <w:szCs w:val="24"/>
        </w:rPr>
        <w:lastRenderedPageBreak/>
        <w:t xml:space="preserve">Details that students need to know include word limits, number of original posts and replies, due dates, how the discussions will be </w:t>
      </w:r>
      <w:hyperlink r:id="rId23">
        <w:r w:rsidRPr="006E612A">
          <w:rPr>
            <w:rFonts w:asciiTheme="majorHAnsi" w:hAnsiTheme="majorHAnsi" w:cstheme="majorHAnsi"/>
            <w:color w:val="1155CC"/>
            <w:sz w:val="24"/>
            <w:szCs w:val="24"/>
            <w:u w:val="single"/>
          </w:rPr>
          <w:t>graded</w:t>
        </w:r>
      </w:hyperlink>
      <w:r w:rsidRPr="006E612A">
        <w:rPr>
          <w:rFonts w:asciiTheme="majorHAnsi" w:hAnsiTheme="majorHAnsi" w:cstheme="majorHAnsi"/>
          <w:sz w:val="24"/>
          <w:szCs w:val="24"/>
        </w:rPr>
        <w:t>, and when students will receive feedback.</w:t>
      </w:r>
    </w:p>
    <w:p w14:paraId="7772CEB6" w14:textId="77777777" w:rsidR="00071178" w:rsidRPr="006E612A" w:rsidRDefault="00165D1C">
      <w:pPr>
        <w:spacing w:after="240"/>
        <w:rPr>
          <w:rFonts w:asciiTheme="majorHAnsi" w:hAnsiTheme="majorHAnsi" w:cstheme="majorHAnsi"/>
          <w:sz w:val="24"/>
          <w:szCs w:val="24"/>
        </w:rPr>
      </w:pPr>
      <w:r w:rsidRPr="006E612A">
        <w:rPr>
          <w:rFonts w:asciiTheme="majorHAnsi" w:hAnsiTheme="majorHAnsi" w:cstheme="majorHAnsi"/>
          <w:sz w:val="24"/>
          <w:szCs w:val="24"/>
        </w:rPr>
        <w:t>Online student presentations:</w:t>
      </w:r>
    </w:p>
    <w:p w14:paraId="7772CEB7" w14:textId="77777777" w:rsidR="00071178" w:rsidRPr="006E612A" w:rsidRDefault="00FC7A66" w:rsidP="00FC7A66">
      <w:pPr>
        <w:numPr>
          <w:ilvl w:val="0"/>
          <w:numId w:val="12"/>
        </w:numPr>
        <w:spacing w:before="240"/>
        <w:rPr>
          <w:rFonts w:asciiTheme="majorHAnsi" w:hAnsiTheme="majorHAnsi" w:cstheme="majorHAnsi"/>
          <w:sz w:val="24"/>
          <w:szCs w:val="24"/>
        </w:rPr>
      </w:pPr>
      <w:hyperlink r:id="rId24">
        <w:r w:rsidR="00165D1C" w:rsidRPr="006E612A">
          <w:rPr>
            <w:rFonts w:asciiTheme="majorHAnsi" w:hAnsiTheme="majorHAnsi" w:cstheme="majorHAnsi"/>
            <w:color w:val="1155CC"/>
            <w:sz w:val="24"/>
            <w:szCs w:val="24"/>
            <w:u w:val="single"/>
          </w:rPr>
          <w:t>Online student presentations</w:t>
        </w:r>
      </w:hyperlink>
      <w:r w:rsidR="00165D1C" w:rsidRPr="006E612A">
        <w:rPr>
          <w:rFonts w:asciiTheme="majorHAnsi" w:hAnsiTheme="majorHAnsi" w:cstheme="majorHAnsi"/>
          <w:sz w:val="24"/>
          <w:szCs w:val="24"/>
        </w:rPr>
        <w:t xml:space="preserve"> can be an effective way for students to demonstrate their learning and can be done individually or in groups. They can also be done synchronously or as </w:t>
      </w:r>
      <w:hyperlink r:id="rId25">
        <w:r w:rsidR="00165D1C" w:rsidRPr="006E612A">
          <w:rPr>
            <w:rFonts w:asciiTheme="majorHAnsi" w:hAnsiTheme="majorHAnsi" w:cstheme="majorHAnsi"/>
            <w:color w:val="1155CC"/>
            <w:sz w:val="24"/>
            <w:szCs w:val="24"/>
            <w:u w:val="single"/>
          </w:rPr>
          <w:t>recorded presentations</w:t>
        </w:r>
      </w:hyperlink>
      <w:r w:rsidR="00165D1C" w:rsidRPr="006E612A">
        <w:rPr>
          <w:rFonts w:asciiTheme="majorHAnsi" w:hAnsiTheme="majorHAnsi" w:cstheme="majorHAnsi"/>
          <w:sz w:val="24"/>
          <w:szCs w:val="24"/>
        </w:rPr>
        <w:t>.</w:t>
      </w:r>
    </w:p>
    <w:p w14:paraId="7772CEB8" w14:textId="77777777" w:rsidR="00071178" w:rsidRPr="006E612A" w:rsidRDefault="00165D1C" w:rsidP="00FC7A66">
      <w:pPr>
        <w:numPr>
          <w:ilvl w:val="0"/>
          <w:numId w:val="12"/>
        </w:numPr>
        <w:spacing w:after="240"/>
        <w:rPr>
          <w:rFonts w:asciiTheme="majorHAnsi" w:hAnsiTheme="majorHAnsi" w:cstheme="majorHAnsi"/>
        </w:rPr>
      </w:pPr>
      <w:r w:rsidRPr="006E612A">
        <w:rPr>
          <w:rFonts w:asciiTheme="majorHAnsi" w:hAnsiTheme="majorHAnsi" w:cstheme="majorHAnsi"/>
          <w:sz w:val="24"/>
          <w:szCs w:val="24"/>
        </w:rPr>
        <w:t xml:space="preserve">Provide students with detailed information about the assignment. Make sure they have the opportunity to practice prior to the </w:t>
      </w:r>
      <w:proofErr w:type="gramStart"/>
      <w:r w:rsidRPr="006E612A">
        <w:rPr>
          <w:rFonts w:asciiTheme="majorHAnsi" w:hAnsiTheme="majorHAnsi" w:cstheme="majorHAnsi"/>
          <w:sz w:val="24"/>
          <w:szCs w:val="24"/>
        </w:rPr>
        <w:t>presentation, and</w:t>
      </w:r>
      <w:proofErr w:type="gramEnd"/>
      <w:r w:rsidRPr="006E612A">
        <w:rPr>
          <w:rFonts w:asciiTheme="majorHAnsi" w:hAnsiTheme="majorHAnsi" w:cstheme="majorHAnsi"/>
          <w:sz w:val="24"/>
          <w:szCs w:val="24"/>
        </w:rPr>
        <w:t xml:space="preserve"> let them know what to do in the event of technology disruption. Provide resources on </w:t>
      </w:r>
      <w:hyperlink r:id="rId26">
        <w:r w:rsidRPr="006E612A">
          <w:rPr>
            <w:rFonts w:asciiTheme="majorHAnsi" w:hAnsiTheme="majorHAnsi" w:cstheme="majorHAnsi"/>
            <w:color w:val="1155CC"/>
            <w:sz w:val="24"/>
            <w:szCs w:val="24"/>
            <w:u w:val="single"/>
          </w:rPr>
          <w:t>how to do an online presentation</w:t>
        </w:r>
      </w:hyperlink>
      <w:r w:rsidRPr="006E612A">
        <w:rPr>
          <w:rFonts w:asciiTheme="majorHAnsi" w:hAnsiTheme="majorHAnsi" w:cstheme="majorHAnsi"/>
          <w:sz w:val="16"/>
          <w:szCs w:val="16"/>
        </w:rPr>
        <w:t xml:space="preserve"> </w:t>
      </w:r>
      <w:r w:rsidRPr="006E612A">
        <w:rPr>
          <w:rFonts w:asciiTheme="majorHAnsi" w:hAnsiTheme="majorHAnsi" w:cstheme="majorHAnsi"/>
          <w:sz w:val="24"/>
          <w:szCs w:val="24"/>
        </w:rPr>
        <w:t>to mitigate student anxiety.</w:t>
      </w:r>
    </w:p>
    <w:p w14:paraId="7772CEB9" w14:textId="77777777" w:rsidR="00071178" w:rsidRPr="006E612A" w:rsidRDefault="00165D1C">
      <w:pPr>
        <w:spacing w:before="240" w:after="240"/>
        <w:ind w:left="360"/>
        <w:rPr>
          <w:rFonts w:asciiTheme="majorHAnsi" w:hAnsiTheme="majorHAnsi" w:cstheme="majorHAnsi"/>
          <w:sz w:val="24"/>
          <w:szCs w:val="24"/>
        </w:rPr>
      </w:pPr>
      <w:r w:rsidRPr="006E612A">
        <w:rPr>
          <w:rFonts w:asciiTheme="majorHAnsi" w:hAnsiTheme="majorHAnsi" w:cstheme="majorHAnsi"/>
          <w:sz w:val="24"/>
          <w:szCs w:val="24"/>
        </w:rPr>
        <w:t xml:space="preserve">Open book exams: </w:t>
      </w:r>
    </w:p>
    <w:p w14:paraId="7772CEBF" w14:textId="4DDB4884" w:rsidR="00071178" w:rsidRPr="006E612A" w:rsidRDefault="00FC7A66" w:rsidP="00FC7A66">
      <w:pPr>
        <w:numPr>
          <w:ilvl w:val="0"/>
          <w:numId w:val="13"/>
        </w:numPr>
        <w:spacing w:before="240" w:after="240"/>
        <w:rPr>
          <w:rFonts w:asciiTheme="majorHAnsi" w:hAnsiTheme="majorHAnsi" w:cstheme="majorHAnsi"/>
          <w:sz w:val="24"/>
          <w:szCs w:val="24"/>
        </w:rPr>
      </w:pPr>
      <w:hyperlink r:id="rId27">
        <w:r w:rsidR="00165D1C" w:rsidRPr="006E612A">
          <w:rPr>
            <w:rFonts w:asciiTheme="majorHAnsi" w:hAnsiTheme="majorHAnsi" w:cstheme="majorHAnsi"/>
            <w:color w:val="1155CC"/>
            <w:sz w:val="24"/>
            <w:szCs w:val="24"/>
            <w:u w:val="single"/>
          </w:rPr>
          <w:t>This resource</w:t>
        </w:r>
      </w:hyperlink>
      <w:r w:rsidR="00165D1C" w:rsidRPr="006E612A">
        <w:rPr>
          <w:rFonts w:asciiTheme="majorHAnsi" w:hAnsiTheme="majorHAnsi" w:cstheme="majorHAnsi"/>
          <w:sz w:val="24"/>
          <w:szCs w:val="24"/>
        </w:rPr>
        <w:t xml:space="preserve"> walks you through the process of creating open book exams. </w:t>
      </w:r>
    </w:p>
    <w:sectPr w:rsidR="00071178" w:rsidRPr="006E612A">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0493" w14:textId="77777777" w:rsidR="00F90DEF" w:rsidRDefault="00F90DEF" w:rsidP="00F90DEF">
      <w:pPr>
        <w:spacing w:line="240" w:lineRule="auto"/>
      </w:pPr>
      <w:r>
        <w:separator/>
      </w:r>
    </w:p>
  </w:endnote>
  <w:endnote w:type="continuationSeparator" w:id="0">
    <w:p w14:paraId="495FCF6F" w14:textId="77777777" w:rsidR="00F90DEF" w:rsidRDefault="00F90DEF" w:rsidP="00F90D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CA6" w14:textId="5214CBEC" w:rsidR="00F90DEF" w:rsidRDefault="00F90DEF">
    <w:pPr>
      <w:pStyle w:val="Footer"/>
    </w:pPr>
    <w:r>
      <w:rPr>
        <w:noProof/>
      </w:rPr>
      <w:drawing>
        <wp:inline distT="0" distB="0" distL="0" distR="0" wp14:anchorId="02E00B7C" wp14:editId="2C513DBA">
          <wp:extent cx="5943600" cy="928370"/>
          <wp:effectExtent l="0" t="0" r="0" b="5080"/>
          <wp:docPr id="1347498989" name="Picture 1347498989"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98989" name="Picture 3" descr="A close-up of a computer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9893" w14:textId="77777777" w:rsidR="00F90DEF" w:rsidRDefault="00F90DEF" w:rsidP="00F90DEF">
      <w:pPr>
        <w:spacing w:line="240" w:lineRule="auto"/>
      </w:pPr>
      <w:r>
        <w:separator/>
      </w:r>
    </w:p>
  </w:footnote>
  <w:footnote w:type="continuationSeparator" w:id="0">
    <w:p w14:paraId="5856BE24" w14:textId="77777777" w:rsidR="00F90DEF" w:rsidRDefault="00F90DEF" w:rsidP="00F90D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29B" w14:textId="57FC9FB8" w:rsidR="00F90DEF" w:rsidRDefault="00B526B9">
    <w:pPr>
      <w:pStyle w:val="Header"/>
    </w:pPr>
    <w:r>
      <w:rPr>
        <w:noProof/>
      </w:rPr>
      <w:drawing>
        <wp:inline distT="0" distB="0" distL="0" distR="0" wp14:anchorId="118833BB" wp14:editId="1C9F2128">
          <wp:extent cx="5943600" cy="928370"/>
          <wp:effectExtent l="0" t="0" r="0" b="5080"/>
          <wp:docPr id="235545947" name="Picture 235545947" descr="A red lin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37780" name="Picture 1" descr="A red lin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2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9C9"/>
    <w:multiLevelType w:val="multilevel"/>
    <w:tmpl w:val="92DA62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C7CA1"/>
    <w:multiLevelType w:val="multilevel"/>
    <w:tmpl w:val="DB08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E7CE5"/>
    <w:multiLevelType w:val="multilevel"/>
    <w:tmpl w:val="A18CF6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4197F"/>
    <w:multiLevelType w:val="multilevel"/>
    <w:tmpl w:val="AB00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D523A5"/>
    <w:multiLevelType w:val="multilevel"/>
    <w:tmpl w:val="A8B0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E4017"/>
    <w:multiLevelType w:val="multilevel"/>
    <w:tmpl w:val="D30E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07680A"/>
    <w:multiLevelType w:val="hybridMultilevel"/>
    <w:tmpl w:val="48B26A72"/>
    <w:lvl w:ilvl="0" w:tplc="4A76E2C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C86E36"/>
    <w:multiLevelType w:val="multilevel"/>
    <w:tmpl w:val="95ECE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E50616"/>
    <w:multiLevelType w:val="multilevel"/>
    <w:tmpl w:val="7360C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4F9014F"/>
    <w:multiLevelType w:val="multilevel"/>
    <w:tmpl w:val="0DE8EC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243F51"/>
    <w:multiLevelType w:val="multilevel"/>
    <w:tmpl w:val="FF68D5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7A20AF"/>
    <w:multiLevelType w:val="multilevel"/>
    <w:tmpl w:val="3D90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17717"/>
    <w:multiLevelType w:val="multilevel"/>
    <w:tmpl w:val="52448A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0218227">
    <w:abstractNumId w:val="1"/>
  </w:num>
  <w:num w:numId="2" w16cid:durableId="1794325145">
    <w:abstractNumId w:val="4"/>
  </w:num>
  <w:num w:numId="3" w16cid:durableId="711345122">
    <w:abstractNumId w:val="3"/>
  </w:num>
  <w:num w:numId="4" w16cid:durableId="974337867">
    <w:abstractNumId w:val="5"/>
  </w:num>
  <w:num w:numId="5" w16cid:durableId="1251960831">
    <w:abstractNumId w:val="7"/>
  </w:num>
  <w:num w:numId="6" w16cid:durableId="866063290">
    <w:abstractNumId w:val="12"/>
  </w:num>
  <w:num w:numId="7" w16cid:durableId="1568027181">
    <w:abstractNumId w:val="8"/>
  </w:num>
  <w:num w:numId="8" w16cid:durableId="1691493017">
    <w:abstractNumId w:val="11"/>
  </w:num>
  <w:num w:numId="9" w16cid:durableId="687411018">
    <w:abstractNumId w:val="6"/>
  </w:num>
  <w:num w:numId="10" w16cid:durableId="1583568122">
    <w:abstractNumId w:val="0"/>
  </w:num>
  <w:num w:numId="11" w16cid:durableId="581723491">
    <w:abstractNumId w:val="2"/>
  </w:num>
  <w:num w:numId="12" w16cid:durableId="1410420857">
    <w:abstractNumId w:val="10"/>
  </w:num>
  <w:num w:numId="13" w16cid:durableId="1464880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78"/>
    <w:rsid w:val="00071178"/>
    <w:rsid w:val="00165D1C"/>
    <w:rsid w:val="006E612A"/>
    <w:rsid w:val="00B526B9"/>
    <w:rsid w:val="00F90DEF"/>
    <w:rsid w:val="00FC7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CE97"/>
  <w15:docId w15:val="{B478EDFA-1491-43CA-A415-1289E1A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0DEF"/>
    <w:pPr>
      <w:tabs>
        <w:tab w:val="center" w:pos="4680"/>
        <w:tab w:val="right" w:pos="9360"/>
      </w:tabs>
      <w:spacing w:line="240" w:lineRule="auto"/>
    </w:pPr>
  </w:style>
  <w:style w:type="character" w:customStyle="1" w:styleId="HeaderChar">
    <w:name w:val="Header Char"/>
    <w:basedOn w:val="DefaultParagraphFont"/>
    <w:link w:val="Header"/>
    <w:uiPriority w:val="99"/>
    <w:rsid w:val="00F90DEF"/>
  </w:style>
  <w:style w:type="paragraph" w:styleId="Footer">
    <w:name w:val="footer"/>
    <w:basedOn w:val="Normal"/>
    <w:link w:val="FooterChar"/>
    <w:uiPriority w:val="99"/>
    <w:unhideWhenUsed/>
    <w:rsid w:val="00F90DEF"/>
    <w:pPr>
      <w:tabs>
        <w:tab w:val="center" w:pos="4680"/>
        <w:tab w:val="right" w:pos="9360"/>
      </w:tabs>
      <w:spacing w:line="240" w:lineRule="auto"/>
    </w:pPr>
  </w:style>
  <w:style w:type="character" w:customStyle="1" w:styleId="FooterChar">
    <w:name w:val="Footer Char"/>
    <w:basedOn w:val="DefaultParagraphFont"/>
    <w:link w:val="Footer"/>
    <w:uiPriority w:val="99"/>
    <w:rsid w:val="00F90DEF"/>
  </w:style>
  <w:style w:type="paragraph" w:styleId="ListParagraph">
    <w:name w:val="List Paragraph"/>
    <w:basedOn w:val="Normal"/>
    <w:uiPriority w:val="34"/>
    <w:qFormat/>
    <w:rsid w:val="00FC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ylorinstitute.ucalgary.ca/resources/online-assessment-in-higher-education" TargetMode="External"/><Relationship Id="rId13" Type="http://schemas.openxmlformats.org/officeDocument/2006/relationships/hyperlink" Target="https://taylorinstitute.ucalgary.ca/resources/module/designing-online-assessments/grading-feedback" TargetMode="External"/><Relationship Id="rId18" Type="http://schemas.openxmlformats.org/officeDocument/2006/relationships/hyperlink" Target="https://elearn.ucalgary.ca/category/d2l/quizzes-surveys/" TargetMode="External"/><Relationship Id="rId26" Type="http://schemas.openxmlformats.org/officeDocument/2006/relationships/hyperlink" Target="https://www.yorku.ca/scld/remote-learning/learning-remotely/giving-online-presentations/" TargetMode="External"/><Relationship Id="rId3" Type="http://schemas.openxmlformats.org/officeDocument/2006/relationships/settings" Target="settings.xml"/><Relationship Id="rId21" Type="http://schemas.openxmlformats.org/officeDocument/2006/relationships/hyperlink" Target="https://elearn.ucalgary.ca/category/d2l/discussions/setting-up-discussions/" TargetMode="External"/><Relationship Id="rId7" Type="http://schemas.openxmlformats.org/officeDocument/2006/relationships/hyperlink" Target="https://taylorinstitute.ucalgary.ca/resources/module/blended-learning" TargetMode="External"/><Relationship Id="rId12" Type="http://schemas.openxmlformats.org/officeDocument/2006/relationships/hyperlink" Target="https://taylorinstitute.ucalgary.ca/resources/transparent-assignment-instructions-template" TargetMode="External"/><Relationship Id="rId17" Type="http://schemas.openxmlformats.org/officeDocument/2006/relationships/hyperlink" Target="https://taylorinstitute.ucalgary.ca/resources/academic-integrity-and-D2L" TargetMode="External"/><Relationship Id="rId25" Type="http://schemas.openxmlformats.org/officeDocument/2006/relationships/hyperlink" Target="https://learninginnovation.duke.edu/blog/2020/03/online-student-presentations/" TargetMode="External"/><Relationship Id="rId2" Type="http://schemas.openxmlformats.org/officeDocument/2006/relationships/styles" Target="styles.xml"/><Relationship Id="rId16" Type="http://schemas.openxmlformats.org/officeDocument/2006/relationships/hyperlink" Target="https://taylorinstitute.ucalgary.ca/resources/principles-for-approaching-academic-integrity-in-the-online-environment" TargetMode="External"/><Relationship Id="rId20" Type="http://schemas.openxmlformats.org/officeDocument/2006/relationships/hyperlink" Target="https://taylorinstitute.ucalgary.ca/resources/alternative-online-assessme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ylorinstitute.ucalgary.ca/resources/guiding-principles-blended-online-course-design" TargetMode="External"/><Relationship Id="rId24" Type="http://schemas.openxmlformats.org/officeDocument/2006/relationships/hyperlink" Target="https://www.facultyfocus.com/articles/teaching-with-technology-articles/maximize-class-time-moving-student-presentations-online/" TargetMode="External"/><Relationship Id="rId5" Type="http://schemas.openxmlformats.org/officeDocument/2006/relationships/footnotes" Target="footnotes.xml"/><Relationship Id="rId15" Type="http://schemas.openxmlformats.org/officeDocument/2006/relationships/hyperlink" Target="https://taylorinstitute.ucalgary.ca/resources/what-to-know-about-academic-integrity-when-designing-assessments-online" TargetMode="External"/><Relationship Id="rId23" Type="http://schemas.openxmlformats.org/officeDocument/2006/relationships/hyperlink" Target="https://taylorinstitute.ucalgary.ca/resources/online-discussion-board-guidelines" TargetMode="External"/><Relationship Id="rId28" Type="http://schemas.openxmlformats.org/officeDocument/2006/relationships/header" Target="header1.xml"/><Relationship Id="rId10" Type="http://schemas.openxmlformats.org/officeDocument/2006/relationships/hyperlink" Target="https://taylorinstitute.ucalgary.ca/resources/five-principles-for-meaningful-online-assessment" TargetMode="External"/><Relationship Id="rId19" Type="http://schemas.openxmlformats.org/officeDocument/2006/relationships/hyperlink" Target="https://elearn.ucalgary.ca/getting-started-with-zo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ylorinstitute.ucalgary.ca/resources/guiding-principles-assessment-of-students-learning" TargetMode="External"/><Relationship Id="rId14" Type="http://schemas.openxmlformats.org/officeDocument/2006/relationships/hyperlink" Target="https://taylorinstitute.ucalgary.ca/resources/enriching-student-experience-with-veedbacks" TargetMode="External"/><Relationship Id="rId22" Type="http://schemas.openxmlformats.org/officeDocument/2006/relationships/hyperlink" Target="https://taylorinstitute.ucalgary.ca/resources/module/developing-online-courses/learning-activities" TargetMode="External"/><Relationship Id="rId27" Type="http://schemas.openxmlformats.org/officeDocument/2006/relationships/hyperlink" Target="https://www.yorku.ca/teachingcommons/wp-content/uploads/sites/38/2021/03/Open-Book-Exam-Toolkit.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4890</Characters>
  <Application>Microsoft Office Word</Application>
  <DocSecurity>4</DocSecurity>
  <Lines>40</Lines>
  <Paragraphs>11</Paragraphs>
  <ScaleCrop>false</ScaleCrop>
  <Company>University of Calgary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Dickie</dc:creator>
  <cp:lastModifiedBy>Travis Dickie</cp:lastModifiedBy>
  <cp:revision>2</cp:revision>
  <dcterms:created xsi:type="dcterms:W3CDTF">2023-11-29T22:10:00Z</dcterms:created>
  <dcterms:modified xsi:type="dcterms:W3CDTF">2023-11-29T22:10:00Z</dcterms:modified>
</cp:coreProperties>
</file>